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STAR GROUP,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40" w:type="dxa"/>
        <w:tblCellMar>
          <w:top w:w="0" w:type="dxa"/>
          <w:left w:w="0" w:type="dxa"/>
          <w:bottom w:w="0" w:type="dxa"/>
          <w:right w:w="0" w:type="dxa"/>
        </w:tblCellMar>
      </w:tblPr>
      <w:tr>
        <w:trPr>
          <w:trHeight w:val="225"/>
        </w:trPr>
        <w:tc>
          <w:tcPr>
            <w:tcW w:w="266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ind w:left="1060"/>
              <w:spacing w:after="0"/>
              <w:rPr>
                <w:sz w:val="20"/>
                <w:szCs w:val="20"/>
                <w:color w:val="auto"/>
              </w:rPr>
            </w:pPr>
            <w:r>
              <w:rPr>
                <w:rFonts w:ascii="Arial" w:cs="Arial" w:eastAsia="Arial" w:hAnsi="Arial"/>
                <w:sz w:val="18"/>
                <w:szCs w:val="18"/>
                <w:b w:val="1"/>
                <w:bCs w:val="1"/>
                <w:color w:val="auto"/>
              </w:rPr>
              <w:t>001-14129</w:t>
            </w:r>
          </w:p>
        </w:tc>
        <w:tc>
          <w:tcPr>
            <w:tcW w:w="2240" w:type="dxa"/>
            <w:vAlign w:val="bottom"/>
          </w:tcPr>
          <w:p>
            <w:pPr>
              <w:jc w:val="center"/>
              <w:ind w:left="1042"/>
              <w:spacing w:after="0"/>
              <w:rPr>
                <w:sz w:val="20"/>
                <w:szCs w:val="20"/>
                <w:color w:val="auto"/>
              </w:rPr>
            </w:pPr>
            <w:r>
              <w:rPr>
                <w:rFonts w:ascii="Arial" w:cs="Arial" w:eastAsia="Arial" w:hAnsi="Arial"/>
                <w:sz w:val="18"/>
                <w:szCs w:val="18"/>
                <w:b w:val="1"/>
                <w:bCs w:val="1"/>
                <w:color w:val="auto"/>
                <w:w w:val="91"/>
              </w:rPr>
              <w:t>06-1437793</w:t>
            </w:r>
          </w:p>
        </w:tc>
      </w:tr>
      <w:tr>
        <w:trPr>
          <w:trHeight w:val="149"/>
        </w:trPr>
        <w:tc>
          <w:tcPr>
            <w:tcW w:w="266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98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240" w:type="dxa"/>
            <w:vAlign w:val="bottom"/>
          </w:tcPr>
          <w:p>
            <w:pPr>
              <w:jc w:val="center"/>
              <w:ind w:left="1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60" w:type="dxa"/>
            <w:vAlign w:val="bottom"/>
          </w:tcPr>
          <w:p>
            <w:pPr>
              <w:jc w:val="center"/>
              <w:ind w:right="942"/>
              <w:spacing w:after="0"/>
              <w:rPr>
                <w:sz w:val="20"/>
                <w:szCs w:val="20"/>
                <w:color w:val="auto"/>
              </w:rPr>
            </w:pPr>
            <w:r>
              <w:rPr>
                <w:rFonts w:ascii="Arial" w:cs="Arial" w:eastAsia="Arial" w:hAnsi="Arial"/>
                <w:sz w:val="14"/>
                <w:szCs w:val="14"/>
                <w:b w:val="1"/>
                <w:bCs w:val="1"/>
                <w:color w:val="auto"/>
                <w:w w:val="92"/>
              </w:rPr>
              <w:t>of incorporation)</w:t>
            </w:r>
          </w:p>
        </w:tc>
        <w:tc>
          <w:tcPr>
            <w:tcW w:w="298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240" w:type="dxa"/>
            <w:vAlign w:val="bottom"/>
          </w:tcPr>
          <w:p>
            <w:pPr>
              <w:jc w:val="center"/>
              <w:ind w:left="10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 West Broad Street Suite 310, Stamford, CT 06902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(203) 328-7310</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03" w:right="359" w:bottom="1440" w:gutter="0" w:footer="0" w:header="0"/>
        </w:sectPr>
      </w:pPr>
    </w:p>
    <w:bookmarkStart w:id="1" w:name="page2"/>
    <w:bookmarkEnd w:id="1"/>
    <w:p>
      <w:pPr>
        <w:ind w:left="1160" w:right="2620" w:hanging="1160"/>
        <w:spacing w:after="0" w:line="282" w:lineRule="auto"/>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761"/>
        <w:spacing w:after="0" w:line="291" w:lineRule="auto"/>
        <w:rPr>
          <w:sz w:val="20"/>
          <w:szCs w:val="20"/>
          <w:color w:val="auto"/>
        </w:rPr>
      </w:pPr>
      <w:r>
        <w:rPr>
          <w:rFonts w:ascii="Arial" w:cs="Arial" w:eastAsia="Arial" w:hAnsi="Arial"/>
          <w:sz w:val="16"/>
          <w:szCs w:val="16"/>
          <w:color w:val="auto"/>
        </w:rPr>
        <w:t>On December 23, 2018, the Board of Directors of Kestrel Heat LLC, the general partner of Star Group, L.P. (the “Company”), approved the appointment of Daniel Donovan, 72, to serve as President and Chief Executive Officer of Kestrel Heat LLC on an interim basis until a permanent replacement can be identified and appointed by the Board. Mr. Donovan assumes the responsibilities of Chief Executive Officer from Steven J. Goldman, who passed away suddenly on December 22, 2018. Mr. Donovan has been a director of Kestrel Heat since April 28, 2006. Mr. Donovan was Chief Executive Officer of Kestrel Heat from May 31, 2007 to September 30, 2013 and had been President from April 28, 2006 to September 30, 2013. Mr. Donovan’s compensation arrangement as President and Chief Executive Officer is not final as of the date of this filing. Additional information regarding Mr. Donovan is set forth in the Company’s Annual Report on Form 10-K filed December 6, 2018, which information is incorporated herein by reference.</w:t>
      </w:r>
    </w:p>
    <w:p>
      <w:pPr>
        <w:spacing w:after="0" w:line="16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761"/>
        <w:spacing w:after="0" w:line="308" w:lineRule="auto"/>
        <w:rPr>
          <w:sz w:val="20"/>
          <w:szCs w:val="20"/>
          <w:color w:val="auto"/>
        </w:rPr>
      </w:pPr>
      <w:r>
        <w:rPr>
          <w:rFonts w:ascii="Arial" w:cs="Arial" w:eastAsia="Arial" w:hAnsi="Arial"/>
          <w:sz w:val="17"/>
          <w:szCs w:val="17"/>
          <w:color w:val="auto"/>
        </w:rPr>
        <w:t>On December 24, 2018, the Company announced the sudden passing of Mr. Goldman and the appointment of Mr. Donovan of President and Chief Executive Officer on an interim basis. A copy of the press release is set forth as Exhibit 99.1 hereto and incorporated herein by reference.</w:t>
      </w:r>
    </w:p>
    <w:p>
      <w:pPr>
        <w:spacing w:after="0" w:line="14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A copy of the Star Group, L.P. Press Release dated December 24,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380"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STAR GROUP,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Kestrel Heat, LLC (General Partner)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Ambury</w:t>
            </w: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3060" w:type="dxa"/>
            <w:vAlign w:val="bottom"/>
          </w:tcPr>
          <w:p>
            <w:pPr>
              <w:spacing w:after="0"/>
              <w:rPr>
                <w:sz w:val="20"/>
                <w:szCs w:val="20"/>
                <w:color w:val="auto"/>
              </w:rPr>
            </w:pPr>
            <w:r>
              <w:rPr>
                <w:rFonts w:ascii="Arial" w:cs="Arial" w:eastAsia="Arial" w:hAnsi="Arial"/>
                <w:sz w:val="18"/>
                <w:szCs w:val="18"/>
                <w:color w:val="auto"/>
              </w:rPr>
              <w:t>Richard Ambury</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26, 2018</w:t>
      </w:r>
    </w:p>
    <w:p>
      <w:pPr>
        <w:sectPr>
          <w:pgSz w:w="11900" w:h="16838" w:orient="portrait"/>
          <w:cols w:equalWidth="0" w:num="1">
            <w:col w:w="11420"/>
          </w:cols>
          <w:pgMar w:left="240" w:top="56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Star Group, L.P. Announces Sudden Passing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Chief Executive Officer Steven Goldman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Dan Donovan to Re-Assume Role for the Balance of the Heating Season</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STAMFORD, Conn., Dec. 24, 2018 (GLOBE NEWSWIRE) -- Star Group, L.P. (the "Company" or "Star") (SGU), a home energy distributor and services provider, is saddened to announce that Steven J. Goldman, Star’s President and Chief Executive Officer, died suddenly on Saturday, December 22, 2018.</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Paul Vermylen, Star’s Chairman of the Board, stated, "It is with great sadness that we mark the passing of our long-time CEO and colleague, Steve Goldman. Having known Steve for almost fifteen years, I can speak for the Board in recognizing his leadership and stewardship of Star Group. He led the transformation of Star into what it is today – a leading energy provider serving approximately 450,000 full-service customers in 18 states and the District of Columbia – where customer service drove every decision he made. He will be greatly missed by everyone associated with the Company and leaves behind a team fully capable of leading Star Group for years to come.”</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Board of Directors announced that Dan Donovan, Star’s prior President and Chief Executive Officer until September 30, 2013 and a current member of Star’s Board of Directors, will lead the Company on an interim basis through the end of the current heating season, while the Board considers organizational and personnel decisions that will best position Star Group for the years ahead.</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Steven Goldman, age 58, had been President and Chief Executive Officer of Star Group and a member of its Board of Directors since October 2013, prior to which he was its Executive Vice President and Chief Operating Officer. From 2000 to 2010, Mr. Goldman held various operating management positions with Star’s Petro unit. Prior to joining the Company, Mr. Goldman worked for United Parcel Service, from 1982 to 2000, and was a graduate of the State University of New York at Stony 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Star Group, L.P.</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Star Group, L.P. is a full service provider specializing in the sale of home heating products and services to residential and commercial customers to heat their homes and buildings. The Company also sells and services heating and air conditioning equipment to its home heating oil and propane customers and, to a lesser extent, provides these offerings to customers outside of its home heating oil and propane customer base. In certain of Star's marketing areas, the Company provides plumbing services primarily to its home heating oil and propane customer base. Star also sells diesel, gasoline and home heating oil on a delivery only basis. Star is the nation's largest retail distributor of home heating oil based upon sales volume. Including its propane locations, Star serves customers in the more northern and eastern states within the Northeast, Central and Southeast U.S. regions. Additional information is available by obtaining the Company's SEC filings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and by visiting Star's website at </w:t>
      </w:r>
      <w:r>
        <w:rPr>
          <w:rFonts w:ascii="Arial" w:cs="Arial" w:eastAsia="Arial" w:hAnsi="Arial"/>
          <w:sz w:val="17"/>
          <w:szCs w:val="17"/>
          <w:u w:val="single" w:color="auto"/>
          <w:color w:val="auto"/>
        </w:rPr>
        <w:t>www.stargrouplp.com</w:t>
      </w:r>
      <w:r>
        <w:rPr>
          <w:rFonts w:ascii="Arial" w:cs="Arial" w:eastAsia="Arial" w:hAnsi="Arial"/>
          <w:sz w:val="17"/>
          <w:szCs w:val="17"/>
          <w:color w:val="auto"/>
        </w:rPr>
        <w:t>, where unit holders may request a hard copy of Star’s complete audited financial statements free of charge.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news release includes "forward-looking statements" which represent the Company’s expectations or beliefs concerning future events that involve risks and uncertainties, including those associated with the effect of weather conditions on our financial performance; the price and supply of the products we sell; the consumption patterns of our customers; our ability to obtain satisfactory gross profit margins; our ability to obtain new customers and retain existing customers; our ability to make strategic acquisitions; the impact of litigation; our ability to contract for our current and future supply needs; natural gas conversions; future union relations and the outcome of current and future union negotiations; the impact of future governmental regulations, including environmental, health and safety regulations; the ability to attract and retain employees; customer creditworthiness; counterparty creditworthiness; marketing plans; general economic conditions and new technology. All statements other than statements of historical facts included in this news release are forward-looking statements. Without limiting the foregoing, the words "believe," "anticipate," "plan," "expect," "seek," "estimate" and similar expressions are intended to identify forward-looking statements. Although the Company believes that the expectations reflected in such forward-looking statements are reasonable, it can give no assurance that such expectations will prove to be correct and actual results may differ materially from those projected as a result of certain risks and uncertainties. These risks and uncertainties include, but are not limited to, those set forth under the heading "Risk Factors" and "Business Strategy" in our Annual Report on Form 10-K (the "Form 10-K") for the fiscal year ended September 30, 2018. Important factors that could cause actual results to differ materially from the Company’s expectations ("Cautionary Statements") are disclosed in this news release and in the Form 10-K. All subsequent written and oral forward-looking statements attributable to the Company or persons acting on its behalf are expressly qualified in their entirety by the Cautionary Statements. Unless otherwise required by law, the Company undertakes no obligation to update or revise any forward-looking statements, whether as a result of new information, future events or otherwise after the date of this news release.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2019-12-28T17:29:29Z</dcterms:created>
  <dcterms:modified xsi:type="dcterms:W3CDTF">2019-12-28T17:29:29Z</dcterms:modified>
</cp:coreProperties>
</file>